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6.0.0 -->
  <w:body>
    <w:p w:rsidR="00993B4D" w:rsidRPr="00154026" w:rsidP="006A623D">
      <w:pPr>
        <w:spacing w:line="240" w:lineRule="auto"/>
        <w:rPr>
          <w:rFonts w:ascii="Arial" w:hAnsi="Arial"/>
          <w:b/>
          <w:noProof/>
          <w:sz w:val="28"/>
          <w:szCs w:val="28"/>
        </w:rPr>
      </w:pPr>
      <w:r w:rsidRPr="00154026">
        <w:rPr>
          <w:rFonts w:ascii="Arial" w:hAnsi="Arial"/>
        </w:rPr>
        <w:br/>
      </w:r>
      <w:r w:rsidRPr="00154026" w:rsidR="007B0FAA">
        <w:rPr>
          <w:rFonts w:ascii="Arial" w:hAnsi="Arial"/>
          <w:b/>
          <w:color w:val="31849B" w:themeColor="accent5" w:themeShade="BF"/>
          <w:sz w:val="28"/>
          <w:szCs w:val="28"/>
        </w:rPr>
        <w:br/>
      </w:r>
      <w:r w:rsidRPr="00154026">
        <w:rPr>
          <w:rFonts w:ascii="Arial" w:hAnsi="Arial"/>
          <w:b/>
          <w:noProof/>
          <w:color w:val="17365D" w:themeColor="text2" w:themeShade="BF"/>
          <w:sz w:val="28"/>
          <w:szCs w:val="28"/>
        </w:rPr>
        <w:t>Research Primer</w:t>
      </w:r>
      <w:r w:rsidRPr="00154026">
        <w:rPr>
          <w:rFonts w:ascii="Arial" w:hAnsi="Arial"/>
          <w:b/>
          <w:noProof/>
          <w:color w:val="17365D" w:themeColor="text2" w:themeShade="BF"/>
          <w:sz w:val="28"/>
          <w:szCs w:val="28"/>
        </w:rPr>
        <w:t>: Essential Elements of a Research Study</w:t>
      </w:r>
      <w:r w:rsidRPr="00154026">
        <w:rPr>
          <w:rFonts w:ascii="Arial" w:hAnsi="Arial"/>
          <w:b/>
          <w:noProof/>
          <w:color w:val="31849B" w:themeColor="accent5" w:themeShade="BF"/>
          <w:sz w:val="28"/>
          <w:szCs w:val="28"/>
        </w:rPr>
        <w:t xml:space="preserve"> | </w:t>
      </w:r>
      <w:r w:rsidRPr="00154026">
        <w:rPr>
          <w:rFonts w:ascii="Arial" w:hAnsi="Arial"/>
          <w:b/>
          <w:noProof/>
          <w:sz w:val="28"/>
          <w:szCs w:val="28"/>
        </w:rPr>
        <w:t>7/13</w:t>
      </w:r>
      <w:r w:rsidRPr="00154026">
        <w:rPr>
          <w:rFonts w:ascii="Arial" w:hAnsi="Arial"/>
          <w:b/>
          <w:noProof/>
          <w:sz w:val="28"/>
          <w:szCs w:val="28"/>
        </w:rPr>
        <w:t>/2023 8:00:00 AM</w:t>
      </w:r>
      <w:r w:rsidRPr="00154026">
        <w:rPr>
          <w:rFonts w:ascii="Arial" w:hAnsi="Arial"/>
          <w:b/>
          <w:noProof/>
          <w:sz w:val="28"/>
          <w:szCs w:val="28"/>
        </w:rPr>
        <w:t xml:space="preserve"> </w:t>
      </w:r>
      <w:r w:rsidRPr="00154026">
        <w:rPr>
          <w:rFonts w:ascii="Arial" w:hAnsi="Arial"/>
          <w:b/>
          <w:noProof/>
          <w:sz w:val="28"/>
          <w:szCs w:val="28"/>
        </w:rPr>
        <w:t>Online</w:t>
      </w:r>
      <w:r w:rsidRPr="00154026">
        <w:rPr>
          <w:rFonts w:ascii="Arial" w:hAnsi="Arial"/>
          <w:b/>
          <w:noProof/>
          <w:sz w:val="28"/>
          <w:szCs w:val="28"/>
        </w:rPr>
        <w:t xml:space="preserve"> </w:t>
      </w:r>
      <w:r w:rsidRPr="00154026">
        <w:rPr>
          <w:rFonts w:ascii="Arial" w:hAnsi="Arial"/>
          <w:b/>
          <w:noProof/>
          <w:sz w:val="28"/>
          <w:szCs w:val="28"/>
        </w:rPr>
        <w:t>CA</w:t>
      </w:r>
    </w:p>
    <w:p w:rsidR="00154026" w:rsidP="006A623D">
      <w:pPr>
        <w:spacing w:line="240" w:lineRule="auto"/>
        <w:rPr>
          <w:rFonts w:ascii="Arial" w:hAnsi="Arial"/>
          <w:sz w:val="24"/>
        </w:rPr>
      </w:pPr>
      <w:r w:rsidRPr="00154026" w:rsidR="00993B4D">
        <w:rPr>
          <w:rFonts w:ascii="Arial" w:hAnsi="Arial"/>
          <w:noProof/>
          <w:color w:val="000000" w:themeColor="text1"/>
          <w:sz w:val="24"/>
          <w:szCs w:val="24"/>
        </w:rPr>
        <w:t xml:space="preserve">&lt;span </w:t>
      </w:r>
      <w:r w:rsidRPr="00154026" w:rsidR="00993B4D">
        <w:rPr>
          <w:rFonts w:ascii="Arial" w:hAnsi="Arial"/>
          <w:noProof/>
          <w:color w:val="000000" w:themeColor="text1"/>
          <w:sz w:val="24"/>
          <w:szCs w:val="24"/>
        </w:rPr>
        <w:t>style="color: rgb(255, 0, 0);"&gt;&lt;strong&gt;Exclusive to Stanford Health Care &amp;amp; Stanford Children's Health (LPCH) Employees&lt;/strong&gt;&lt;/span&gt;&lt;strong&gt;&lt;br&gt;&lt;/strong&gt;&lt;p&gt;&amp;nbsp;&lt;/p&gt;</w:t>
      </w:r>
    </w:p>
    <w:p w:rsidR="00993B4D" w:rsidRPr="00154026" w:rsidP="006A623D">
      <w:pPr>
        <w:spacing w:line="240" w:lineRule="auto"/>
        <w:rPr>
          <w:rFonts w:ascii="Arial" w:hAnsi="Arial"/>
          <w:noProof/>
          <w:color w:val="000000" w:themeColor="text1"/>
          <w:sz w:val="24"/>
          <w:szCs w:val="24"/>
        </w:rPr>
      </w:pPr>
      <w:r w:rsidRPr="00154026">
        <w:rPr>
          <w:rFonts w:ascii="Arial" w:hAnsi="Arial"/>
          <w:noProof/>
          <w:color w:val="000000" w:themeColor="text1"/>
          <w:sz w:val="24"/>
          <w:szCs w:val="24"/>
        </w:rPr>
        <w:t>&lt;p&gt;This course will introduce learners to the topic of research. It is designed to equip learners with knowledge and skills in planning, designing and implementing research studies. By the end of the course, the attendee will have gained knowledge about how to begin the research process. The target audience of this course include all level healthcare providers who want to learn more about the process of designing, conducting, and implementing research studies.</w:t>
      </w:r>
    </w:p>
    <w:p w:rsidR="00993B4D" w:rsidRPr="00154026" w:rsidP="006A623D">
      <w:pPr>
        <w:spacing w:line="240" w:lineRule="auto"/>
        <w:rPr>
          <w:rFonts w:ascii="Arial" w:hAnsi="Arial"/>
          <w:noProof/>
          <w:color w:val="000000" w:themeColor="text1"/>
          <w:sz w:val="24"/>
          <w:szCs w:val="24"/>
        </w:rPr>
      </w:pPr>
    </w:p>
    <w:p w:rsidR="00993B4D" w:rsidRPr="00154026" w:rsidP="006A623D">
      <w:pPr>
        <w:spacing w:line="240" w:lineRule="auto"/>
        <w:rPr>
          <w:rFonts w:ascii="Arial" w:hAnsi="Arial"/>
          <w:noProof/>
          <w:color w:val="000000" w:themeColor="text1"/>
          <w:sz w:val="24"/>
          <w:szCs w:val="24"/>
        </w:rPr>
      </w:pPr>
      <w:r w:rsidRPr="00154026">
        <w:rPr>
          <w:rFonts w:ascii="Arial" w:hAnsi="Arial"/>
          <w:noProof/>
          <w:color w:val="000000" w:themeColor="text1"/>
          <w:sz w:val="24"/>
          <w:szCs w:val="24"/>
        </w:rPr>
        <w:t xml:space="preserve">This course covers the following topics: </w:t>
      </w:r>
    </w:p>
    <w:p w:rsidR="00993B4D" w:rsidRPr="00154026" w:rsidP="006A623D">
      <w:pPr>
        <w:spacing w:line="240" w:lineRule="auto"/>
        <w:rPr>
          <w:rFonts w:ascii="Arial" w:hAnsi="Arial"/>
          <w:noProof/>
          <w:color w:val="000000" w:themeColor="text1"/>
          <w:sz w:val="24"/>
          <w:szCs w:val="24"/>
        </w:rPr>
      </w:pPr>
      <w:r w:rsidRPr="00154026">
        <w:rPr>
          <w:rFonts w:ascii="Arial" w:hAnsi="Arial"/>
          <w:noProof/>
          <w:color w:val="000000" w:themeColor="text1"/>
          <w:sz w:val="24"/>
          <w:szCs w:val="24"/>
        </w:rPr>
        <w:t xml:space="preserve">1. How to conduct literature database search using resources at Lane Library. </w:t>
      </w:r>
    </w:p>
    <w:p w:rsidR="00993B4D" w:rsidRPr="00154026" w:rsidP="006A623D">
      <w:pPr>
        <w:spacing w:line="240" w:lineRule="auto"/>
        <w:rPr>
          <w:rFonts w:ascii="Arial" w:hAnsi="Arial"/>
          <w:noProof/>
          <w:color w:val="000000" w:themeColor="text1"/>
          <w:sz w:val="24"/>
          <w:szCs w:val="24"/>
        </w:rPr>
      </w:pPr>
      <w:r w:rsidRPr="00154026">
        <w:rPr>
          <w:rFonts w:ascii="Arial" w:hAnsi="Arial"/>
          <w:noProof/>
          <w:color w:val="000000" w:themeColor="text1"/>
          <w:sz w:val="24"/>
          <w:szCs w:val="24"/>
        </w:rPr>
        <w:t xml:space="preserve">2. How to read research articles and identify gaps in the literature. </w:t>
      </w:r>
    </w:p>
    <w:p w:rsidR="00993B4D" w:rsidRPr="00154026" w:rsidP="006A623D">
      <w:pPr>
        <w:spacing w:line="240" w:lineRule="auto"/>
        <w:rPr>
          <w:rFonts w:ascii="Arial" w:hAnsi="Arial"/>
          <w:noProof/>
          <w:color w:val="000000" w:themeColor="text1"/>
          <w:sz w:val="24"/>
          <w:szCs w:val="24"/>
        </w:rPr>
      </w:pPr>
      <w:r w:rsidRPr="00154026">
        <w:rPr>
          <w:rFonts w:ascii="Arial" w:hAnsi="Arial"/>
          <w:noProof/>
          <w:color w:val="000000" w:themeColor="text1"/>
          <w:sz w:val="24"/>
          <w:szCs w:val="24"/>
        </w:rPr>
        <w:t xml:space="preserve">3. How to formulate research questions. Understand different research designs including quantitative, qualitative, and mixed methods. </w:t>
      </w:r>
    </w:p>
    <w:p w:rsidR="00993B4D" w:rsidRPr="00154026" w:rsidP="006A623D">
      <w:pPr>
        <w:spacing w:line="240" w:lineRule="auto"/>
        <w:rPr>
          <w:rFonts w:ascii="Arial" w:hAnsi="Arial"/>
          <w:noProof/>
          <w:color w:val="000000" w:themeColor="text1"/>
          <w:sz w:val="24"/>
          <w:szCs w:val="24"/>
        </w:rPr>
      </w:pPr>
      <w:r w:rsidRPr="00154026">
        <w:rPr>
          <w:rFonts w:ascii="Arial" w:hAnsi="Arial"/>
          <w:noProof/>
          <w:color w:val="000000" w:themeColor="text1"/>
          <w:sz w:val="24"/>
          <w:szCs w:val="24"/>
        </w:rPr>
        <w:t xml:space="preserve">4. Understand the key concepts of data collection and management. </w:t>
      </w:r>
    </w:p>
    <w:p w:rsidR="00154026" w:rsidP="006A623D">
      <w:pPr>
        <w:spacing w:line="240" w:lineRule="auto"/>
        <w:rPr>
          <w:rFonts w:ascii="Arial" w:hAnsi="Arial"/>
          <w:sz w:val="24"/>
        </w:rPr>
      </w:pPr>
      <w:r w:rsidRPr="00154026" w:rsidR="00993B4D">
        <w:rPr>
          <w:rFonts w:ascii="Arial" w:hAnsi="Arial"/>
          <w:noProof/>
          <w:color w:val="000000" w:themeColor="text1"/>
          <w:sz w:val="24"/>
          <w:szCs w:val="24"/>
        </w:rPr>
        <w:t>5. Discuss ethical principles and regulatory compliance and guidance information to protect human research participants.&lt;/p&gt;&lt;p&gt;&lt;strong&gt;&lt;span style="color: rgb(255, 0, 0);"&gt;&lt;/span&gt;&lt;/strong&gt;&lt;/p&gt;</w:t>
      </w:r>
    </w:p>
    <w:p w:rsidR="00993B4D" w:rsidRPr="00154026" w:rsidP="006A623D">
      <w:pPr>
        <w:spacing w:line="240" w:lineRule="auto"/>
        <w:rPr>
          <w:rFonts w:ascii="Arial" w:hAnsi="Arial"/>
          <w:color w:val="000000" w:themeColor="text1"/>
          <w:sz w:val="24"/>
          <w:szCs w:val="24"/>
        </w:rPr>
      </w:pPr>
    </w:p>
    <w:p w:rsidR="00993B4D" w:rsidRPr="00154026" w:rsidP="006A623D">
      <w:pPr>
        <w:spacing w:line="240" w:lineRule="auto"/>
        <w:rPr>
          <w:rFonts w:ascii="Arial" w:hAnsi="Arial"/>
          <w:color w:val="000000" w:themeColor="text1"/>
          <w:sz w:val="24"/>
          <w:szCs w:val="24"/>
        </w:rPr>
      </w:pPr>
      <w:r w:rsidRPr="00154026">
        <w:rPr>
          <w:rFonts w:ascii="Arial" w:hAnsi="Arial" w:cs="Arial"/>
          <w:b/>
          <w:sz w:val="24"/>
          <w:szCs w:val="24"/>
        </w:rPr>
        <w:t>Program Goal:</w:t>
      </w:r>
      <w:r w:rsidRPr="00154026">
        <w:rPr>
          <w:rFonts w:ascii="Arial" w:hAnsi="Arial" w:cs="Arial"/>
          <w:sz w:val="24"/>
          <w:szCs w:val="24"/>
        </w:rPr>
        <w:t xml:space="preserve"> </w:t>
      </w:r>
    </w:p>
    <w:p w:rsidR="00993B4D" w:rsidRPr="00154026" w:rsidP="006A623D">
      <w:pPr>
        <w:spacing w:line="240" w:lineRule="auto"/>
        <w:rPr>
          <w:rFonts w:ascii="Arial" w:hAnsi="Arial" w:cs="Arial"/>
          <w:noProof/>
          <w:sz w:val="24"/>
          <w:szCs w:val="24"/>
        </w:rPr>
      </w:pPr>
      <w:r w:rsidRPr="00154026">
        <w:rPr>
          <w:rFonts w:ascii="Arial" w:hAnsi="Arial" w:cs="Arial"/>
          <w:b/>
          <w:sz w:val="24"/>
          <w:szCs w:val="24"/>
        </w:rPr>
        <w:t>Target Audience:</w:t>
      </w:r>
      <w:r w:rsidRPr="00154026">
        <w:rPr>
          <w:rFonts w:ascii="Arial" w:hAnsi="Arial" w:cs="Arial"/>
          <w:sz w:val="24"/>
          <w:szCs w:val="24"/>
        </w:rPr>
        <w:t xml:space="preserve"> </w:t>
      </w:r>
      <w:r w:rsidRPr="00154026">
        <w:rPr>
          <w:rFonts w:ascii="Arial" w:hAnsi="Arial" w:cs="Arial"/>
          <w:noProof/>
          <w:sz w:val="24"/>
          <w:szCs w:val="24"/>
        </w:rPr>
        <w:t>All Specialties</w:t>
      </w:r>
    </w:p>
    <w:p w:rsidR="009A3B3F" w:rsidRPr="00154026" w:rsidP="006A623D">
      <w:pPr>
        <w:spacing w:line="240" w:lineRule="auto"/>
        <w:rPr>
          <w:rFonts w:ascii="Arial" w:hAnsi="Arial" w:cs="Arial"/>
          <w:noProof/>
          <w:sz w:val="24"/>
          <w:szCs w:val="24"/>
        </w:rPr>
      </w:pPr>
      <w:r w:rsidRPr="00154026">
        <w:rPr>
          <w:rFonts w:ascii="Arial" w:hAnsi="Arial" w:cs="Arial"/>
          <w:b/>
          <w:sz w:val="24"/>
          <w:szCs w:val="24"/>
        </w:rPr>
        <w:t>Faculty:</w:t>
      </w:r>
      <w:r w:rsidRPr="00154026">
        <w:rPr>
          <w:rFonts w:ascii="Arial" w:hAnsi="Arial" w:cs="Arial"/>
          <w:sz w:val="24"/>
          <w:szCs w:val="24"/>
        </w:rPr>
        <w:t xml:space="preserve"> </w:t>
      </w:r>
      <w:r w:rsidRPr="00154026">
        <w:rPr>
          <w:rFonts w:ascii="Arial" w:hAnsi="Arial" w:cs="Arial"/>
          <w:noProof/>
          <w:sz w:val="24"/>
          <w:szCs w:val="24"/>
        </w:rPr>
        <w:t>Zainab  Alzawad</w:t>
      </w:r>
      <w:r w:rsidRPr="00154026">
        <w:rPr>
          <w:rFonts w:ascii="Arial" w:hAnsi="Arial" w:cs="Arial"/>
          <w:noProof/>
          <w:sz w:val="24"/>
          <w:szCs w:val="24"/>
        </w:rPr>
        <w:t>, PhD</w:t>
      </w:r>
    </w:p>
    <w:p w:rsidRPr="00154026" w:rsidP="006A623D">
      <w:pPr>
        <w:spacing w:line="240" w:lineRule="auto"/>
        <w:rPr>
          <w:rFonts w:ascii="Arial" w:hAnsi="Arial" w:cs="Arial"/>
          <w:noProof/>
          <w:sz w:val="24"/>
          <w:szCs w:val="24"/>
        </w:rPr>
      </w:pPr>
      <w:r w:rsidRPr="00154026">
        <w:rPr>
          <w:rFonts w:ascii="Arial" w:hAnsi="Arial" w:cs="Arial"/>
          <w:noProof/>
          <w:sz w:val="24"/>
          <w:szCs w:val="24"/>
        </w:rPr>
        <w:t>Aubrey  Florom-smith, PhD, RN</w:t>
      </w:r>
    </w:p>
    <w:p w:rsidRPr="00154026" w:rsidP="006A623D">
      <w:pPr>
        <w:spacing w:line="240" w:lineRule="auto"/>
        <w:rPr>
          <w:rFonts w:ascii="Arial" w:hAnsi="Arial" w:cs="Arial"/>
          <w:noProof/>
          <w:sz w:val="24"/>
          <w:szCs w:val="24"/>
        </w:rPr>
      </w:pPr>
      <w:r w:rsidRPr="00154026">
        <w:rPr>
          <w:rFonts w:ascii="Arial" w:hAnsi="Arial" w:cs="Arial"/>
          <w:noProof/>
          <w:sz w:val="24"/>
          <w:szCs w:val="24"/>
        </w:rPr>
        <w:t>Michelle DeCoux  Hampton, PhD</w:t>
      </w:r>
    </w:p>
    <w:p w:rsidRPr="00154026" w:rsidP="006A623D">
      <w:pPr>
        <w:spacing w:line="240" w:lineRule="auto"/>
        <w:rPr>
          <w:rFonts w:ascii="Arial" w:hAnsi="Arial" w:cs="Arial"/>
          <w:noProof/>
          <w:sz w:val="24"/>
          <w:szCs w:val="24"/>
        </w:rPr>
      </w:pPr>
      <w:r w:rsidRPr="00154026">
        <w:rPr>
          <w:rFonts w:ascii="Arial" w:hAnsi="Arial" w:cs="Arial"/>
          <w:noProof/>
          <w:sz w:val="24"/>
          <w:szCs w:val="24"/>
        </w:rPr>
        <w:t>Anna  Oh, PhD, RN</w:t>
      </w:r>
    </w:p>
    <w:p w:rsidRPr="00154026" w:rsidP="006A623D">
      <w:pPr>
        <w:spacing w:line="240" w:lineRule="auto"/>
        <w:rPr>
          <w:rFonts w:ascii="Arial" w:hAnsi="Arial" w:cs="Arial"/>
          <w:noProof/>
          <w:sz w:val="24"/>
          <w:szCs w:val="24"/>
        </w:rPr>
      </w:pPr>
      <w:r w:rsidRPr="00154026">
        <w:rPr>
          <w:rFonts w:ascii="Arial" w:hAnsi="Arial" w:cs="Arial"/>
          <w:noProof/>
          <w:sz w:val="24"/>
          <w:szCs w:val="24"/>
        </w:rPr>
        <w:t xml:space="preserve">Kimberly  A. Pyke-Grimm, PhD, RN, CNS </w:t>
      </w:r>
    </w:p>
    <w:p w:rsidRPr="00154026" w:rsidP="006A623D">
      <w:pPr>
        <w:spacing w:line="240" w:lineRule="auto"/>
        <w:rPr>
          <w:rFonts w:ascii="Arial" w:hAnsi="Arial" w:cs="Arial"/>
          <w:noProof/>
          <w:sz w:val="24"/>
          <w:szCs w:val="24"/>
        </w:rPr>
      </w:pPr>
      <w:r w:rsidRPr="00154026">
        <w:rPr>
          <w:rFonts w:ascii="Arial" w:hAnsi="Arial" w:cs="Arial"/>
          <w:noProof/>
          <w:sz w:val="24"/>
          <w:szCs w:val="24"/>
        </w:rPr>
        <w:t>Pam  Simon, MSN</w:t>
      </w:r>
    </w:p>
    <w:p w:rsidRPr="00154026" w:rsidP="006A623D">
      <w:pPr>
        <w:spacing w:line="240" w:lineRule="auto"/>
        <w:rPr>
          <w:rFonts w:ascii="Arial" w:hAnsi="Arial" w:cs="Arial"/>
          <w:noProof/>
          <w:sz w:val="24"/>
          <w:szCs w:val="24"/>
        </w:rPr>
      </w:pPr>
      <w:r w:rsidRPr="00154026">
        <w:rPr>
          <w:rFonts w:ascii="Arial" w:hAnsi="Arial" w:cs="Arial"/>
          <w:noProof/>
          <w:sz w:val="24"/>
          <w:szCs w:val="24"/>
        </w:rPr>
        <w:t>Connie  Wong, MLIS, DVM, MPVM</w:t>
      </w:r>
    </w:p>
    <w:p w:rsidR="009A3B3F" w:rsidRPr="00154026" w:rsidP="006A623D">
      <w:pPr>
        <w:spacing w:line="240" w:lineRule="auto"/>
        <w:rPr>
          <w:rFonts w:ascii="Arial" w:hAnsi="Arial" w:cs="Arial"/>
          <w:noProof/>
          <w:sz w:val="24"/>
          <w:szCs w:val="24"/>
        </w:rPr>
      </w:pPr>
    </w:p>
    <w:p w:rsidR="009A3B3F" w:rsidRPr="00154026" w:rsidP="006A623D">
      <w:pPr>
        <w:spacing w:line="240" w:lineRule="auto"/>
        <w:rPr>
          <w:rFonts w:ascii="Arial" w:hAnsi="Arial" w:cs="Arial"/>
          <w:sz w:val="24"/>
          <w:szCs w:val="24"/>
        </w:rPr>
      </w:pPr>
      <w:r w:rsidRPr="00154026">
        <w:rPr>
          <w:rFonts w:ascii="Arial" w:hAnsi="Arial" w:cs="Arial"/>
          <w:b/>
          <w:sz w:val="24"/>
          <w:szCs w:val="24"/>
        </w:rPr>
        <w:t>Misc:</w:t>
      </w:r>
      <w:r w:rsidRPr="00154026">
        <w:rPr>
          <w:rFonts w:ascii="Arial" w:hAnsi="Arial" w:cs="Arial"/>
          <w:sz w:val="24"/>
          <w:szCs w:val="24"/>
        </w:rPr>
        <w:t xml:space="preserve"> </w:t>
      </w:r>
    </w:p>
    <w:p w:rsidR="00CC477A" w:rsidRPr="00154026" w:rsidP="00CC477A">
      <w:pPr>
        <w:spacing w:line="240" w:lineRule="auto"/>
        <w:rPr>
          <w:rFonts w:ascii="Arial" w:hAnsi="Arial" w:cs="Arial"/>
          <w:sz w:val="24"/>
          <w:szCs w:val="20"/>
        </w:rPr>
      </w:pPr>
      <w:r w:rsidRPr="00154026">
        <w:rPr>
          <w:rFonts w:ascii="Arial" w:hAnsi="Arial" w:cs="Arial"/>
          <w:sz w:val="24"/>
          <w:szCs w:val="20"/>
        </w:rPr>
        <w:t>The</w:t>
      </w:r>
      <w:r w:rsidRPr="00154026">
        <w:rPr>
          <w:rFonts w:ascii="Arial" w:hAnsi="Arial" w:cs="Arial"/>
          <w:sz w:val="24"/>
          <w:szCs w:val="20"/>
        </w:rPr>
        <w:t xml:space="preserve"> </w:t>
      </w:r>
      <w:r w:rsidRPr="00154026">
        <w:rPr>
          <w:rFonts w:ascii="Arial" w:hAnsi="Arial" w:cs="Arial"/>
          <w:sz w:val="24"/>
          <w:szCs w:val="20"/>
        </w:rPr>
        <w:t>School of Medicine is accredited by the Accreditation Council for Continuing Medical Education (ACCME) to provide continuing medical education for physicians</w:t>
      </w:r>
      <w:r w:rsidRPr="00154026">
        <w:rPr>
          <w:rFonts w:ascii="Arial" w:hAnsi="Arial" w:cs="Arial"/>
          <w:sz w:val="24"/>
          <w:szCs w:val="20"/>
        </w:rPr>
        <w:t>.</w:t>
      </w:r>
    </w:p>
    <w:p w:rsidR="00993B4D" w:rsidRPr="00154026" w:rsidP="003B6C7B">
      <w:pPr>
        <w:spacing w:line="240" w:lineRule="auto"/>
        <w:rPr>
          <w:rFonts w:ascii="Arial" w:hAnsi="Arial" w:cs="Arial"/>
          <w:sz w:val="24"/>
          <w:szCs w:val="20"/>
        </w:rPr>
      </w:pPr>
      <w:r w:rsidRPr="00154026">
        <w:rPr>
          <w:rFonts w:ascii="Arial" w:hAnsi="Arial" w:cs="Arial"/>
          <w:sz w:val="24"/>
          <w:szCs w:val="20"/>
        </w:rPr>
        <w:t>The</w:t>
      </w:r>
      <w:r w:rsidRPr="00154026" w:rsidR="00CC477A">
        <w:rPr>
          <w:rFonts w:ascii="Arial" w:hAnsi="Arial" w:cs="Arial"/>
          <w:sz w:val="24"/>
          <w:szCs w:val="20"/>
        </w:rPr>
        <w:t xml:space="preserve"> School of Medicine </w:t>
      </w:r>
      <w:r w:rsidRPr="00154026">
        <w:rPr>
          <w:rFonts w:ascii="Arial" w:hAnsi="Arial" w:cs="Arial"/>
          <w:sz w:val="24"/>
          <w:szCs w:val="20"/>
        </w:rPr>
        <w:t xml:space="preserve">designates this educational activity for a maximum of </w:t>
      </w:r>
      <w:r w:rsidRPr="00154026">
        <w:rPr>
          <w:rFonts w:ascii="Arial" w:hAnsi="Arial" w:cs="Arial"/>
          <w:noProof/>
          <w:sz w:val="24"/>
        </w:rPr>
        <w:t>3.75</w:t>
      </w:r>
      <w:r w:rsidRPr="00154026">
        <w:rPr>
          <w:rFonts w:ascii="Arial" w:hAnsi="Arial" w:cs="Arial"/>
          <w:sz w:val="24"/>
        </w:rPr>
        <w:t xml:space="preserve"> </w:t>
      </w:r>
      <w:r w:rsidRPr="00154026">
        <w:rPr>
          <w:rFonts w:ascii="Arial" w:hAnsi="Arial" w:cs="Arial"/>
          <w:sz w:val="24"/>
          <w:szCs w:val="20"/>
        </w:rPr>
        <w:t>AMA PRA Category 1 Credit. Physicians should only claim credit commensurate with the extent of their participation in the activity.</w:t>
      </w:r>
    </w:p>
    <w:p w:rsidR="00993B4D" w:rsidRPr="00154026" w:rsidP="006A623D">
      <w:pPr>
        <w:spacing w:line="240" w:lineRule="auto"/>
        <w:rPr>
          <w:rFonts w:ascii="Arial" w:hAnsi="Arial"/>
          <w:color w:val="000000" w:themeColor="text1"/>
          <w:sz w:val="24"/>
          <w:szCs w:val="24"/>
        </w:rPr>
      </w:pPr>
      <w:r w:rsidRPr="00154026">
        <w:rPr>
          <w:rFonts w:ascii="Arial" w:hAnsi="Arial" w:cs="Arial"/>
          <w:sz w:val="24"/>
          <w:szCs w:val="24"/>
        </w:rPr>
        <w:t>If you have</w:t>
      </w:r>
      <w:r w:rsidRPr="00154026">
        <w:rPr>
          <w:rFonts w:ascii="Arial" w:hAnsi="Arial" w:cs="Arial"/>
          <w:sz w:val="24"/>
          <w:szCs w:val="24"/>
        </w:rPr>
        <w:t xml:space="preserve"> questions, </w:t>
      </w:r>
      <w:r w:rsidRPr="00154026">
        <w:rPr>
          <w:rFonts w:ascii="Arial" w:hAnsi="Arial" w:cs="Arial"/>
          <w:sz w:val="24"/>
          <w:szCs w:val="24"/>
        </w:rPr>
        <w:t xml:space="preserve">please </w:t>
      </w:r>
      <w:r w:rsidRPr="00154026">
        <w:rPr>
          <w:rFonts w:ascii="Arial" w:hAnsi="Arial" w:cs="Arial"/>
          <w:sz w:val="24"/>
          <w:szCs w:val="24"/>
        </w:rPr>
        <w:t xml:space="preserve">email </w:t>
      </w:r>
      <w:r w:rsidRPr="00154026">
        <w:rPr>
          <w:rFonts w:ascii="Arial" w:hAnsi="Arial" w:cs="Arial"/>
          <w:noProof/>
          <w:sz w:val="24"/>
          <w:szCs w:val="24"/>
        </w:rPr>
        <w:t>MichelleDeCouxHampton@stanfordhealthcare</w:t>
      </w:r>
      <w:r w:rsidRPr="00154026">
        <w:rPr>
          <w:rFonts w:ascii="Arial" w:hAnsi="Arial" w:cs="Arial"/>
          <w:noProof/>
          <w:sz w:val="24"/>
          <w:szCs w:val="24"/>
        </w:rPr>
        <w:t>.org, ZAlzawad@stanfordhealthcare.org, hongnei@stanford.edu, AOh@stanfordhealthcare.org, kpykegrimm@stanfordchildrens.org, AFloromSmith@stanfordhealthcare.org, psimon@stanfordchildrens.org</w:t>
      </w:r>
    </w:p>
    <w:sectPr w:rsidSect="00993B4D">
      <w:pgSz w:w="15840" w:h="12240" w:orient="landscape"/>
      <w:pgMar w:top="1008" w:right="1080" w:bottom="1080"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panose1 w:val="020B0503020203020204"/>
    <w:charset w:val="00"/>
    <w:family w:val="auto"/>
    <w:pitch w:val="variable"/>
    <w:sig w:usb0="E1000AEF" w:usb1="5000A1FF" w:usb2="00000000" w:usb3="00000000" w:csb0="000001BF" w:csb1="00000000"/>
  </w:font>
  <w:font w:name="Arial">
    <w:panose1 w:val="020B0604020202020204"/>
    <w:charset w:val="59"/>
    <w:family w:val="auto"/>
    <w:pitch w:val="variable"/>
    <w:sig w:usb0="00000201" w:usb1="00000000" w:usb2="00000000" w:usb3="00000000" w:csb0="00000004"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oNotTrackMoves/>
  <w:defaultTabStop w:val="720"/>
  <w:characterSpacingControl w:val="doNotCompress"/>
  <w:compat>
    <w:useFELayout/>
  </w:compat>
  <m:mathPr>
    <m:mathFont m:val="@ＭＳ ゴシック"/>
    <m:smallFrac/>
  </m:mathPr>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3B4D"/>
    <w:pPr>
      <w:spacing w:after="200" w:line="276" w:lineRule="auto"/>
    </w:pPr>
    <w:rPr>
      <w:rFonts w:eastAsiaTheme="minorHAnsi"/>
      <w:sz w:val="22"/>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993B4D"/>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93B4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93B4D"/>
    <w:rPr>
      <w:rFonts w:ascii="Lucida Grande" w:hAnsi="Lucida Grande" w:eastAsiaTheme="minorHAnsi" w:cs="Lucida Grande"/>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155</Words>
  <Characters>888</Characters>
  <Application>Microsoft Office Word</Application>
  <DocSecurity>0</DocSecurity>
  <Lines>7</Lines>
  <Paragraphs>1</Paragraphs>
  <ScaleCrop>false</ScaleCrop>
  <Company>A</Company>
  <LinksUpToDate>false</LinksUpToDate>
  <CharactersWithSpaces>1090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Beverly Millard</dc:creator>
  <cp:lastModifiedBy>Paul Carpenter</cp:lastModifiedBy>
  <cp:revision>9</cp:revision>
  <dcterms:created xsi:type="dcterms:W3CDTF">2016-02-10T14:54:00Z</dcterms:created>
  <dcterms:modified xsi:type="dcterms:W3CDTF">2017-05-23T15:26:00Z</dcterms:modified>
</cp:coreProperties>
</file>